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62736C"/>
          <w:sz w:val="18"/>
        </w:rPr>
        <w:t>PANEL DISCUSSION BRIEFING</w:t>
      </w:r>
    </w:p>
    <w:p>
      <w:pPr>
        <w:pStyle w:val="Title"/>
        <w:jc w:val="center"/>
      </w:pPr>
      <w:r>
        <w:t>From Wool Advocacy to Wool Infrastructure</w:t>
      </w:r>
    </w:p>
    <w:p>
      <w:pPr>
        <w:jc w:val="center"/>
      </w:pPr>
      <w:r>
        <w:rPr>
          <w:i/>
          <w:color w:val="46504C"/>
          <w:sz w:val="23"/>
        </w:rPr>
        <w:t>A practical Alberta roadmap for rebuilding a resilient, producer-centred wool value chain</w:t>
      </w:r>
    </w:p>
    <w:p>
      <w:pPr>
        <w:jc w:val="center"/>
      </w:pPr>
      <w:r>
        <w:rPr>
          <w:color w:val="6E6E6E"/>
          <w:sz w:val="17"/>
        </w:rPr>
        <w:t>Working discussion paper • Campaign for Wool Canada conference panel • September 2026</w:t>
      </w:r>
    </w:p>
    <w:tbl>
      <w:tblPr>
        <w:tblW w:type="auto" w:w="0"/>
        <w:jc w:val="center"/>
        <w:tblLook w:firstColumn="1" w:firstRow="1" w:lastColumn="0" w:lastRow="0" w:noHBand="0" w:noVBand="1" w:val="04A0"/>
      </w:tblPr>
      <w:tblGrid>
        <w:gridCol w:w="10166"/>
      </w:tblGrid>
      <w:tr>
        <w:tc>
          <w:tcPr>
            <w:tcW w:type="dxa" w:w="10166"/>
            <w:shd w:fill="E9F0EC"/>
            <w:tcMar>
              <w:top w:w="150" w:type="dxa"/>
              <w:start w:w="180" w:type="dxa"/>
              <w:bottom w:w="150" w:type="dxa"/>
              <w:end w:w="180" w:type="dxa"/>
            </w:tcMar>
          </w:tcPr>
          <w:p>
            <w:pPr>
              <w:jc w:val="center"/>
            </w:pPr>
            <w:r>
              <w:rPr>
                <w:b/>
                <w:color w:val="1F3630"/>
                <w:sz w:val="18"/>
              </w:rPr>
              <w:t>THE CORE PROPOSITION</w:t>
            </w:r>
          </w:p>
          <w:p>
            <w:pPr>
              <w:jc w:val="center"/>
            </w:pPr>
            <w:r>
              <w:rPr>
                <w:b/>
                <w:sz w:val="22"/>
              </w:rPr>
              <w:t>Canadian wool does not primarily need more advocacy. It needs a functioning development system that can turn thousands of disconnected fleeces into predictable commercial raw material, investment-ready businesses, skilled regional processing capacity and multiple durable markets.</w:t>
            </w:r>
          </w:p>
        </w:tc>
      </w:tr>
    </w:tbl>
    <w:p>
      <w:pPr>
        <w:pStyle w:val="Heading1"/>
      </w:pPr>
      <w:r>
        <w:t>The five essential services</w:t>
      </w:r>
    </w:p>
    <w:p>
      <w:pPr>
        <w:pStyle w:val="Heading2"/>
      </w:pPr>
      <w:r>
        <w:t>1. KNOW — Wool intelligence</w:t>
      </w:r>
    </w:p>
    <w:p>
      <w:r>
        <w:t>Create a living Alberta wool inventory: where the wool is, annual volume, breed/type, quality, shearing season, current destination and producer willingness to participate. Test representative samples and translate the clip into commercial specifications.</w:t>
      </w:r>
    </w:p>
    <w:p>
      <w:r>
        <w:rPr>
          <w:b/>
        </w:rPr>
        <w:t>Output: a credible annual clip forecast and map that lets a processor or investor know exactly what Alberta can supply.</w:t>
      </w:r>
    </w:p>
    <w:p>
      <w:pPr>
        <w:pStyle w:val="Small"/>
      </w:pPr>
      <w:r>
        <w:t>Potential partners/funding: Olds College Centre for Innovation (industry-driven applied research); Results Driven Agriculture Research (RDAR) where the work has a genuine producer-led research component; Alberta Sustainable CAP programs.</w:t>
      </w:r>
    </w:p>
    <w:p>
      <w:pPr>
        <w:pStyle w:val="Heading2"/>
      </w:pPr>
      <w:r>
        <w:t>2. GATHER — Regional aggregation</w:t>
      </w:r>
    </w:p>
    <w:p>
      <w:r>
        <w:t>Pilot one regional receiving hub before building a mill. Provide weighing, producer identification, classing, traceability, baling, storage and lot-building. Use rented space and modest equipment first.</w:t>
      </w:r>
    </w:p>
    <w:p>
      <w:r>
        <w:rPr>
          <w:b/>
        </w:rPr>
        <w:t>Output: instead of many small, inconsistent farm lots, Alberta can offer documented commercial lots of known specification and volume.</w:t>
      </w:r>
    </w:p>
    <w:p>
      <w:pPr>
        <w:pStyle w:val="Small"/>
      </w:pPr>
      <w:r>
        <w:t>Potential partners/funding: producer working group; Community Futures Alberta for rural business development, planning and financing; local municipalities/economic-development organizations where appropriate.</w:t>
      </w:r>
    </w:p>
    <w:p>
      <w:pPr>
        <w:pStyle w:val="Heading2"/>
      </w:pPr>
      <w:r>
        <w:t>3. TRAIN — Skills and succession</w:t>
      </w:r>
    </w:p>
    <w:p>
      <w:r>
        <w:t>Build a skills pipeline covering shearing, wool handling, classing, testing, mill operation, machinery maintenance and product development. Train more than one person in every critical function and make succession part of the system.</w:t>
      </w:r>
    </w:p>
    <w:p>
      <w:r>
        <w:rPr>
          <w:b/>
        </w:rPr>
        <w:t>Output: processing capacity that is not dependent on a handful of irreplaceable individuals.</w:t>
      </w:r>
    </w:p>
    <w:p>
      <w:pPr>
        <w:pStyle w:val="Small"/>
      </w:pPr>
      <w:r>
        <w:t>Potential partners/funding: Olds College or another Alberta post-secondary partner; Canada-Alberta Workforce Resilience Initiative for eligible workforce planning/training proposals; industry-led apprenticeships and microcredentials.</w:t>
      </w:r>
    </w:p>
    <w:p>
      <w:pPr>
        <w:pStyle w:val="Heading2"/>
      </w:pPr>
      <w:r>
        <w:t>4. SELL — Commercial market development</w:t>
      </w:r>
    </w:p>
    <w:p>
      <w:r>
        <w:t>Talk to manufacturers before buying machinery. Interview bedding, insulation, felt/nonwoven, carpet, yarn, knitwear, workwear, horticulture and biomaterial companies. Ask what specification, form, volume, consistency and price would make them buy Alberta wool.</w:t>
      </w:r>
    </w:p>
    <w:p>
      <w:r>
        <w:rPr>
          <w:b/>
        </w:rPr>
        <w:t>Output: letters of intent, trial orders and eventual offtake agreements that define what processing infrastructure is actually needed.</w:t>
      </w:r>
    </w:p>
    <w:p>
      <w:pPr>
        <w:pStyle w:val="Small"/>
      </w:pPr>
      <w:r>
        <w:t>Potential partners/funding: Alberta Value-Added Program for eligible market/product development; PrairiesCan relationship-building for regional economic development; industry associations and prospective commercial buyers.</w:t>
      </w:r>
    </w:p>
    <w:p>
      <w:pPr>
        <w:pStyle w:val="Heading2"/>
      </w:pPr>
      <w:r>
        <w:t>5. BUILD — Investment and processing capacity</w:t>
      </w:r>
    </w:p>
    <w:p>
      <w:r>
        <w:t>Only after supply and demand are demonstrated, identify the first missing processing function and build the business case around it. Capital should follow contracted wool, defined specifications and credible customers — not precede them.</w:t>
      </w:r>
    </w:p>
    <w:p>
      <w:r>
        <w:rPr>
          <w:b/>
        </w:rPr>
        <w:t>Output: financeable regional infrastructure with producer participation and a clear path to operating viability.</w:t>
      </w:r>
    </w:p>
    <w:p>
      <w:pPr>
        <w:pStyle w:val="Small"/>
      </w:pPr>
      <w:r>
        <w:t>Potential partners/funding: Alberta Emerging Opportunities Program; Alberta Value-Added Program; PrairiesCan; Community Futures; producer equity/co-operative shares; private impact investment; at larger scale, Alberta's Agri-Processing Investment Tax Credit where eligibility and investment thresholds are met.</w:t>
      </w:r>
    </w:p>
    <w:p>
      <w:pPr>
        <w:pStyle w:val="Heading1"/>
      </w:pPr>
      <w:r>
        <w:t>Practical roadmap</w:t>
      </w:r>
    </w:p>
    <w:tbl>
      <w:tblPr>
        <w:tblW w:type="auto" w:w="0"/>
        <w:jc w:val="center"/>
        <w:tblLayout w:type="fixed"/>
        <w:tblLook w:firstColumn="1" w:firstRow="1" w:lastColumn="0" w:lastRow="0" w:noHBand="0" w:noVBand="1" w:val="04A0"/>
      </w:tblPr>
      <w:tblGrid>
        <w:gridCol w:w="1800"/>
        <w:gridCol w:w="3240"/>
        <w:gridCol w:w="4680"/>
      </w:tblGrid>
      <w:tr>
        <w:tc>
          <w:tcPr>
            <w:tcW w:type="dxa" w:w="3389"/>
            <w:shd w:fill="DCE7E1"/>
            <w:tcMar>
              <w:top w:w="90" w:type="dxa"/>
              <w:start w:w="110" w:type="dxa"/>
              <w:bottom w:w="90" w:type="dxa"/>
              <w:end w:w="110" w:type="dxa"/>
            </w:tcMar>
          </w:tcPr>
          <w:p>
            <w:r>
              <w:rPr>
                <w:b/>
              </w:rPr>
              <w:t>Timing</w:t>
            </w:r>
          </w:p>
        </w:tc>
        <w:tc>
          <w:tcPr>
            <w:tcW w:type="dxa" w:w="3389"/>
            <w:shd w:fill="DCE7E1"/>
            <w:tcMar>
              <w:top w:w="90" w:type="dxa"/>
              <w:start w:w="110" w:type="dxa"/>
              <w:bottom w:w="90" w:type="dxa"/>
              <w:end w:w="110" w:type="dxa"/>
            </w:tcMar>
          </w:tcPr>
          <w:p>
            <w:r>
              <w:rPr>
                <w:b/>
              </w:rPr>
              <w:t>Priority</w:t>
            </w:r>
          </w:p>
        </w:tc>
        <w:tc>
          <w:tcPr>
            <w:tcW w:type="dxa" w:w="3389"/>
            <w:shd w:fill="DCE7E1"/>
            <w:tcMar>
              <w:top w:w="90" w:type="dxa"/>
              <w:start w:w="110" w:type="dxa"/>
              <w:bottom w:w="90" w:type="dxa"/>
              <w:end w:w="110" w:type="dxa"/>
            </w:tcMar>
          </w:tcPr>
          <w:p>
            <w:r>
              <w:rPr>
                <w:b/>
              </w:rPr>
              <w:t>Concrete deliverables</w:t>
            </w:r>
          </w:p>
        </w:tc>
      </w:tr>
      <w:tr>
        <w:tc>
          <w:tcPr>
            <w:tcW w:type="dxa" w:w="1800"/>
            <w:tcMar>
              <w:top w:w="90" w:type="dxa"/>
              <w:start w:w="110" w:type="dxa"/>
              <w:bottom w:w="90" w:type="dxa"/>
              <w:end w:w="110" w:type="dxa"/>
            </w:tcMar>
            <w:vAlign w:val="top"/>
          </w:tcPr>
          <w:p>
            <w:r>
              <w:rPr>
                <w:b/>
              </w:rPr>
              <w:t>0–6 months</w:t>
            </w:r>
          </w:p>
        </w:tc>
        <w:tc>
          <w:tcPr>
            <w:tcW w:type="dxa" w:w="3240"/>
            <w:tcMar>
              <w:top w:w="90" w:type="dxa"/>
              <w:start w:w="110" w:type="dxa"/>
              <w:bottom w:w="90" w:type="dxa"/>
              <w:end w:w="110" w:type="dxa"/>
            </w:tcMar>
            <w:vAlign w:val="top"/>
          </w:tcPr>
          <w:p>
            <w:r>
              <w:t>Prove the case</w:t>
            </w:r>
          </w:p>
        </w:tc>
        <w:tc>
          <w:tcPr>
            <w:tcW w:type="dxa" w:w="4680"/>
            <w:tcMar>
              <w:top w:w="90" w:type="dxa"/>
              <w:start w:w="110" w:type="dxa"/>
              <w:bottom w:w="90" w:type="dxa"/>
              <w:end w:w="110" w:type="dxa"/>
            </w:tcMar>
            <w:vAlign w:val="top"/>
          </w:tcPr>
          <w:p>
            <w:r>
              <w:t>Form a small Alberta Wool Development Working Group; inventory and sample the clip; map producers; interview commercial buyers; identify one pilot catchment; design simple commercial wool specifications.</w:t>
            </w:r>
          </w:p>
        </w:tc>
      </w:tr>
      <w:tr>
        <w:tc>
          <w:tcPr>
            <w:tcW w:type="dxa" w:w="1800"/>
            <w:tcMar>
              <w:top w:w="90" w:type="dxa"/>
              <w:start w:w="110" w:type="dxa"/>
              <w:bottom w:w="90" w:type="dxa"/>
              <w:end w:w="110" w:type="dxa"/>
            </w:tcMar>
            <w:vAlign w:val="top"/>
          </w:tcPr>
          <w:p>
            <w:r>
              <w:rPr>
                <w:b/>
              </w:rPr>
              <w:t>6–12 months</w:t>
            </w:r>
          </w:p>
        </w:tc>
        <w:tc>
          <w:tcPr>
            <w:tcW w:type="dxa" w:w="3240"/>
            <w:tcMar>
              <w:top w:w="90" w:type="dxa"/>
              <w:start w:w="110" w:type="dxa"/>
              <w:bottom w:w="90" w:type="dxa"/>
              <w:end w:w="110" w:type="dxa"/>
            </w:tcMar>
            <w:vAlign w:val="top"/>
          </w:tcPr>
          <w:p>
            <w:r>
              <w:t>Run the pilot</w:t>
            </w:r>
          </w:p>
        </w:tc>
        <w:tc>
          <w:tcPr>
            <w:tcW w:type="dxa" w:w="4680"/>
            <w:tcMar>
              <w:top w:w="90" w:type="dxa"/>
              <w:start w:w="110" w:type="dxa"/>
              <w:bottom w:w="90" w:type="dxa"/>
              <w:end w:w="110" w:type="dxa"/>
            </w:tcMar>
            <w:vAlign w:val="top"/>
          </w:tcPr>
          <w:p>
            <w:r>
              <w:t>Train wool handlers/classers; hold one real collection; weigh, class, trace, bale and store wool; calculate actual cost/lb; build trial commercial lots; place trial lots with processors/buyers.</w:t>
            </w:r>
          </w:p>
        </w:tc>
      </w:tr>
      <w:tr>
        <w:tc>
          <w:tcPr>
            <w:tcW w:type="dxa" w:w="1800"/>
            <w:tcMar>
              <w:top w:w="90" w:type="dxa"/>
              <w:start w:w="110" w:type="dxa"/>
              <w:bottom w:w="90" w:type="dxa"/>
              <w:end w:w="110" w:type="dxa"/>
            </w:tcMar>
            <w:vAlign w:val="top"/>
          </w:tcPr>
          <w:p>
            <w:r>
              <w:rPr>
                <w:b/>
              </w:rPr>
              <w:t>Year 2</w:t>
            </w:r>
          </w:p>
        </w:tc>
        <w:tc>
          <w:tcPr>
            <w:tcW w:type="dxa" w:w="3240"/>
            <w:tcMar>
              <w:top w:w="90" w:type="dxa"/>
              <w:start w:w="110" w:type="dxa"/>
              <w:bottom w:w="90" w:type="dxa"/>
              <w:end w:w="110" w:type="dxa"/>
            </w:tcMar>
            <w:vAlign w:val="top"/>
          </w:tcPr>
          <w:p>
            <w:r>
              <w:t>Organize + contract</w:t>
            </w:r>
          </w:p>
        </w:tc>
        <w:tc>
          <w:tcPr>
            <w:tcW w:type="dxa" w:w="4680"/>
            <w:tcMar>
              <w:top w:w="90" w:type="dxa"/>
              <w:start w:w="110" w:type="dxa"/>
              <w:bottom w:w="90" w:type="dxa"/>
              <w:end w:w="110" w:type="dxa"/>
            </w:tcMar>
            <w:vAlign w:val="top"/>
          </w:tcPr>
          <w:p>
            <w:r>
              <w:t>If the pilot works, establish a producer-owned regional hub; secure voluntary supply commitments; develop transparent pricing/quality incentives; obtain buyer commitments; complete feasibility work on the first missing processing function.</w:t>
            </w:r>
          </w:p>
        </w:tc>
      </w:tr>
      <w:tr>
        <w:tc>
          <w:tcPr>
            <w:tcW w:type="dxa" w:w="1800"/>
            <w:tcMar>
              <w:top w:w="90" w:type="dxa"/>
              <w:start w:w="110" w:type="dxa"/>
              <w:bottom w:w="90" w:type="dxa"/>
              <w:end w:w="110" w:type="dxa"/>
            </w:tcMar>
            <w:vAlign w:val="top"/>
          </w:tcPr>
          <w:p>
            <w:r>
              <w:rPr>
                <w:b/>
              </w:rPr>
              <w:t>Years 3–5</w:t>
            </w:r>
          </w:p>
        </w:tc>
        <w:tc>
          <w:tcPr>
            <w:tcW w:type="dxa" w:w="3240"/>
            <w:tcMar>
              <w:top w:w="90" w:type="dxa"/>
              <w:start w:w="110" w:type="dxa"/>
              <w:bottom w:w="90" w:type="dxa"/>
              <w:end w:w="110" w:type="dxa"/>
            </w:tcMar>
            <w:vAlign w:val="top"/>
          </w:tcPr>
          <w:p>
            <w:r>
              <w:t>Build + replicate</w:t>
            </w:r>
          </w:p>
        </w:tc>
        <w:tc>
          <w:tcPr>
            <w:tcW w:type="dxa" w:w="4680"/>
            <w:tcMar>
              <w:top w:w="90" w:type="dxa"/>
              <w:start w:w="110" w:type="dxa"/>
              <w:bottom w:w="90" w:type="dxa"/>
              <w:end w:w="110" w:type="dxa"/>
            </w:tcMar>
            <w:vAlign w:val="top"/>
          </w:tcPr>
          <w:p>
            <w:r>
              <w:t>Finance the first justified processing bottleneck; operate commercially; measure producer returns and hub economics; establish additional hubs only where supply warrants; federate shared training, standards, research, marketing and advocacy.</w:t>
            </w:r>
          </w:p>
        </w:tc>
      </w:tr>
    </w:tbl>
    <w:p>
      <w:pPr>
        <w:pStyle w:val="Heading1"/>
      </w:pPr>
      <w:r>
        <w:t>Design for resilience from the beginning</w:t>
      </w:r>
    </w:p>
    <w:p>
      <w:pPr>
        <w:pStyle w:val="ListBullet"/>
        <w:spacing w:after="40"/>
      </w:pPr>
      <w:r>
        <w:t>Build a network, not a pyramid: many farms → several regional hubs → several processors → several markets.</w:t>
      </w:r>
    </w:p>
    <w:p>
      <w:pPr>
        <w:pStyle w:val="ListBullet"/>
        <w:spacing w:after="40"/>
      </w:pPr>
      <w:r>
        <w:t>Keep essential infrastructure simple and distributed. Aggregation, classing, storage and traceability should survive even if a particular processor fails.</w:t>
      </w:r>
    </w:p>
    <w:p>
      <w:pPr>
        <w:pStyle w:val="ListBullet"/>
        <w:spacing w:after="40"/>
      </w:pPr>
      <w:r>
        <w:t>Do not make one product or buyer 'the answer.' Maintain multiple outlets for different wool classes.</w:t>
      </w:r>
    </w:p>
    <w:p>
      <w:pPr>
        <w:pStyle w:val="ListBullet"/>
        <w:spacing w:after="40"/>
      </w:pPr>
      <w:r>
        <w:t>Standardize commercial wool classes, not Alberta's sheep. Biological diversity should feed multiple product streams rather than be eliminated for industrial convenience.</w:t>
      </w:r>
    </w:p>
    <w:p>
      <w:pPr>
        <w:pStyle w:val="ListBullet"/>
        <w:spacing w:after="40"/>
      </w:pPr>
      <w:r>
        <w:t>Keep debt modest; build operating and equipment reserves before maximizing distributions.</w:t>
      </w:r>
    </w:p>
    <w:p>
      <w:pPr>
        <w:pStyle w:val="ListBullet"/>
        <w:spacing w:after="40"/>
      </w:pPr>
      <w:r>
        <w:t>Do not make grants the operating model. Public money can help establish infrastructure, training and market development; routine commercial activity must ultimately support itself.</w:t>
      </w:r>
    </w:p>
    <w:p>
      <w:pPr>
        <w:pStyle w:val="ListBullet"/>
        <w:spacing w:after="40"/>
      </w:pPr>
      <w:r>
        <w:t>Use open standards and shared training so knowledge cannot be captured by one organization or a few individuals.</w:t>
      </w:r>
    </w:p>
    <w:p>
      <w:pPr>
        <w:pStyle w:val="ListBullet"/>
        <w:spacing w:after="40"/>
      </w:pPr>
      <w:r>
        <w:t>Preserve producer choice. A producer-owned system should earn loyalty through usefulness, quality and return — not lock-in.</w:t>
      </w:r>
    </w:p>
    <w:p>
      <w:pPr>
        <w:pStyle w:val="Heading1"/>
      </w:pPr>
      <w:r>
        <w:t>What success should be measured by</w:t>
      </w:r>
    </w:p>
    <w:p>
      <w:r>
        <w:t>Not simply awareness, social-media reach or pounds collected. A useful scorecard would track:</w:t>
      </w:r>
    </w:p>
    <w:p>
      <w:r>
        <w:rPr>
          <w:b/>
        </w:rPr>
        <w:t>Domestic/regional processing capacity • producer return per pound • percentage of clip commercially specified • number of trained handlers/classers/operators • number of viable buyers per wool class • concentration in the largest buyer • hub operating reserves/debt • share of routine revenue dependent on grants • producer participation and geographic coverage.</w:t>
      </w:r>
    </w:p>
    <w:p>
      <w:pPr>
        <w:pStyle w:val="Heading1"/>
      </w:pPr>
      <w:r>
        <w:t>A useful question for the panel</w:t>
      </w:r>
    </w:p>
    <w:tbl>
      <w:tblPr>
        <w:tblW w:type="auto" w:w="0"/>
        <w:tblLook w:firstColumn="1" w:firstRow="1" w:lastColumn="0" w:lastRow="0" w:noHBand="0" w:noVBand="1" w:val="04A0"/>
      </w:tblPr>
      <w:tblGrid>
        <w:gridCol w:w="10166"/>
      </w:tblGrid>
      <w:tr>
        <w:tc>
          <w:tcPr>
            <w:tcW w:type="dxa" w:w="10166"/>
            <w:shd w:fill="F4F1E8"/>
            <w:tcMar>
              <w:top w:w="160" w:type="dxa"/>
              <w:start w:w="180" w:type="dxa"/>
              <w:bottom w:w="160" w:type="dxa"/>
              <w:end w:w="180" w:type="dxa"/>
            </w:tcMar>
          </w:tcPr>
          <w:p>
            <w:r>
              <w:rPr>
                <w:b/>
                <w:sz w:val="24"/>
              </w:rPr>
              <w:t>“What services would have to exist for an Alberta sheep producer to put wool on a truck and know that it is entering a functioning value chain?”</w:t>
            </w:r>
          </w:p>
          <w:p>
            <w:r>
              <w:rPr>
                <w:i/>
              </w:rPr>
              <w:t>The proposed answer: know the clip, aggregate and classify it, train the people, secure multiple markets, and invest only then in the missing processing capacity.</w:t>
            </w:r>
          </w:p>
        </w:tc>
      </w:tr>
    </w:tbl>
    <w:p>
      <w:pPr>
        <w:pStyle w:val="Heading1"/>
      </w:pPr>
      <w:r>
        <w:t>Immediate next step</w:t>
      </w:r>
    </w:p>
    <w:p>
      <w:r>
        <w:rPr>
          <w:b/>
        </w:rPr>
        <w:t>Create a temporary Alberta Wool Development Working Group with a six-month mandate:</w:t>
      </w:r>
    </w:p>
    <w:p>
      <w:r>
        <w:t>Determine whether Alberta has sufficient wool, producer commitment and commercial demand to support a producer-owned regional aggregation and value-added processing system.</w:t>
      </w:r>
    </w:p>
    <w:p>
      <w:pPr>
        <w:pStyle w:val="ListBullet"/>
        <w:spacing w:after="40"/>
      </w:pPr>
      <w:r>
        <w:t>Deliverable 1 — Alberta Wool Inventory: What do we actually have?</w:t>
      </w:r>
    </w:p>
    <w:p>
      <w:pPr>
        <w:pStyle w:val="ListBullet"/>
        <w:spacing w:after="40"/>
      </w:pPr>
      <w:r>
        <w:t>Deliverable 2 — Alberta Wool Market Study: Who would buy it, in what form, at what specification, volume and price?</w:t>
      </w:r>
    </w:p>
    <w:p>
      <w:pPr>
        <w:pStyle w:val="ListBullet"/>
        <w:spacing w:after="40"/>
      </w:pPr>
      <w:r>
        <w:t>Deliverable 3 — Pilot Hub Business Case: Where should the first hub be, what services should it provide, what will it cost, and how many pounds must pass through it to be viable?</w:t>
      </w:r>
    </w:p>
    <w:p>
      <w:pPr>
        <w:pStyle w:val="Heading1"/>
      </w:pPr>
      <w:r>
        <w:t>Potential funding / development doors to open</w:t>
      </w:r>
    </w:p>
    <w:tbl>
      <w:tblPr>
        <w:tblW w:type="auto" w:w="0"/>
        <w:jc w:val="center"/>
        <w:tblLook w:firstColumn="1" w:firstRow="1" w:lastColumn="0" w:lastRow="0" w:noHBand="0" w:noVBand="1" w:val="04A0"/>
      </w:tblPr>
      <w:tblGrid>
        <w:gridCol w:w="3389"/>
        <w:gridCol w:w="3389"/>
        <w:gridCol w:w="3389"/>
      </w:tblGrid>
      <w:tr>
        <w:tc>
          <w:tcPr>
            <w:tcW w:type="dxa" w:w="3389"/>
            <w:shd w:fill="DCE7E1"/>
            <w:tcMar>
              <w:top w:w="90" w:type="dxa"/>
              <w:start w:w="110" w:type="dxa"/>
              <w:bottom w:w="90" w:type="dxa"/>
              <w:end w:w="110" w:type="dxa"/>
            </w:tcMar>
          </w:tcPr>
          <w:p>
            <w:r>
              <w:rPr>
                <w:b/>
              </w:rPr>
              <w:t>Organization / program</w:t>
            </w:r>
          </w:p>
        </w:tc>
        <w:tc>
          <w:tcPr>
            <w:tcW w:type="dxa" w:w="3389"/>
            <w:shd w:fill="DCE7E1"/>
            <w:tcMar>
              <w:top w:w="90" w:type="dxa"/>
              <w:start w:w="110" w:type="dxa"/>
              <w:bottom w:w="90" w:type="dxa"/>
              <w:end w:w="110" w:type="dxa"/>
            </w:tcMar>
          </w:tcPr>
          <w:p>
            <w:r>
              <w:rPr>
                <w:b/>
              </w:rPr>
              <w:t>Best fit</w:t>
            </w:r>
          </w:p>
        </w:tc>
        <w:tc>
          <w:tcPr>
            <w:tcW w:type="dxa" w:w="3389"/>
            <w:shd w:fill="DCE7E1"/>
            <w:tcMar>
              <w:top w:w="90" w:type="dxa"/>
              <w:start w:w="110" w:type="dxa"/>
              <w:bottom w:w="90" w:type="dxa"/>
              <w:end w:w="110" w:type="dxa"/>
            </w:tcMar>
          </w:tcPr>
          <w:p>
            <w:r>
              <w:rPr>
                <w:b/>
              </w:rPr>
              <w:t>Notes</w:t>
            </w:r>
          </w:p>
        </w:tc>
      </w:tr>
      <w:tr>
        <w:tc>
          <w:tcPr>
            <w:tcW w:type="dxa" w:w="3389"/>
            <w:tcMar>
              <w:top w:w="90" w:type="dxa"/>
              <w:start w:w="110" w:type="dxa"/>
              <w:bottom w:w="90" w:type="dxa"/>
              <w:end w:w="110" w:type="dxa"/>
            </w:tcMar>
            <w:vAlign w:val="top"/>
          </w:tcPr>
          <w:p>
            <w:r>
              <w:t>Olds College Centre for Innovation</w:t>
            </w:r>
          </w:p>
        </w:tc>
        <w:tc>
          <w:tcPr>
            <w:tcW w:type="dxa" w:w="3389"/>
            <w:tcMar>
              <w:top w:w="90" w:type="dxa"/>
              <w:start w:w="110" w:type="dxa"/>
              <w:bottom w:w="90" w:type="dxa"/>
              <w:end w:w="110" w:type="dxa"/>
            </w:tcMar>
            <w:vAlign w:val="top"/>
          </w:tcPr>
          <w:p>
            <w:r>
              <w:t>Clip characterization, applied research, product/process trials</w:t>
            </w:r>
          </w:p>
        </w:tc>
        <w:tc>
          <w:tcPr>
            <w:tcW w:type="dxa" w:w="3389"/>
            <w:tcMar>
              <w:top w:w="90" w:type="dxa"/>
              <w:start w:w="110" w:type="dxa"/>
              <w:bottom w:w="90" w:type="dxa"/>
              <w:end w:w="110" w:type="dxa"/>
            </w:tcMar>
            <w:vAlign w:val="top"/>
          </w:tcPr>
          <w:p>
            <w:r>
              <w:t>Industry-driven applied research; useful early technical partner.</w:t>
            </w:r>
          </w:p>
        </w:tc>
      </w:tr>
      <w:tr>
        <w:tc>
          <w:tcPr>
            <w:tcW w:type="dxa" w:w="3389"/>
            <w:tcMar>
              <w:top w:w="90" w:type="dxa"/>
              <w:start w:w="110" w:type="dxa"/>
              <w:bottom w:w="90" w:type="dxa"/>
              <w:end w:w="110" w:type="dxa"/>
            </w:tcMar>
            <w:vAlign w:val="top"/>
          </w:tcPr>
          <w:p>
            <w:r>
              <w:t>RDAR</w:t>
            </w:r>
          </w:p>
        </w:tc>
        <w:tc>
          <w:tcPr>
            <w:tcW w:type="dxa" w:w="3389"/>
            <w:tcMar>
              <w:top w:w="90" w:type="dxa"/>
              <w:start w:w="110" w:type="dxa"/>
              <w:bottom w:w="90" w:type="dxa"/>
              <w:end w:w="110" w:type="dxa"/>
            </w:tcMar>
            <w:vAlign w:val="top"/>
          </w:tcPr>
          <w:p>
            <w:r>
              <w:t>Producer-led applied research</w:t>
            </w:r>
          </w:p>
        </w:tc>
        <w:tc>
          <w:tcPr>
            <w:tcW w:type="dxa" w:w="3389"/>
            <w:tcMar>
              <w:top w:w="90" w:type="dxa"/>
              <w:start w:w="110" w:type="dxa"/>
              <w:bottom w:w="90" w:type="dxa"/>
              <w:end w:w="110" w:type="dxa"/>
            </w:tcMar>
            <w:vAlign w:val="top"/>
          </w:tcPr>
          <w:p>
            <w:r>
              <w:t>Best where the project has a clear research question and tangible benefit to Alberta producers.</w:t>
            </w:r>
          </w:p>
        </w:tc>
      </w:tr>
      <w:tr>
        <w:tc>
          <w:tcPr>
            <w:tcW w:type="dxa" w:w="3389"/>
            <w:tcMar>
              <w:top w:w="90" w:type="dxa"/>
              <w:start w:w="110" w:type="dxa"/>
              <w:bottom w:w="90" w:type="dxa"/>
              <w:end w:w="110" w:type="dxa"/>
            </w:tcMar>
            <w:vAlign w:val="top"/>
          </w:tcPr>
          <w:p>
            <w:r>
              <w:t>Community Futures Alberta</w:t>
            </w:r>
          </w:p>
        </w:tc>
        <w:tc>
          <w:tcPr>
            <w:tcW w:type="dxa" w:w="3389"/>
            <w:tcMar>
              <w:top w:w="90" w:type="dxa"/>
              <w:start w:w="110" w:type="dxa"/>
              <w:bottom w:w="90" w:type="dxa"/>
              <w:end w:w="110" w:type="dxa"/>
            </w:tcMar>
            <w:vAlign w:val="top"/>
          </w:tcPr>
          <w:p>
            <w:r>
              <w:t>Co-op/business planning, rural financing, feasibility</w:t>
            </w:r>
          </w:p>
        </w:tc>
        <w:tc>
          <w:tcPr>
            <w:tcW w:type="dxa" w:w="3389"/>
            <w:tcMar>
              <w:top w:w="90" w:type="dxa"/>
              <w:start w:w="110" w:type="dxa"/>
              <w:bottom w:w="90" w:type="dxa"/>
              <w:end w:w="110" w:type="dxa"/>
            </w:tcMar>
            <w:vAlign w:val="top"/>
          </w:tcPr>
          <w:p>
            <w:r>
              <w:t>Useful very early; 27 rural offices. Centre West serves the Cochrane area.</w:t>
            </w:r>
          </w:p>
        </w:tc>
      </w:tr>
      <w:tr>
        <w:tc>
          <w:tcPr>
            <w:tcW w:type="dxa" w:w="3389"/>
            <w:tcMar>
              <w:top w:w="90" w:type="dxa"/>
              <w:start w:w="110" w:type="dxa"/>
              <w:bottom w:w="90" w:type="dxa"/>
              <w:end w:w="110" w:type="dxa"/>
            </w:tcMar>
            <w:vAlign w:val="top"/>
          </w:tcPr>
          <w:p>
            <w:r>
              <w:t>Canada-Alberta Workforce Resilience Initiative</w:t>
            </w:r>
          </w:p>
        </w:tc>
        <w:tc>
          <w:tcPr>
            <w:tcW w:type="dxa" w:w="3389"/>
            <w:tcMar>
              <w:top w:w="90" w:type="dxa"/>
              <w:start w:w="110" w:type="dxa"/>
              <w:bottom w:w="90" w:type="dxa"/>
              <w:end w:w="110" w:type="dxa"/>
            </w:tcMar>
            <w:vAlign w:val="top"/>
          </w:tcPr>
          <w:p>
            <w:r>
              <w:t>Workforce planning and employer/industry-led training</w:t>
            </w:r>
          </w:p>
        </w:tc>
        <w:tc>
          <w:tcPr>
            <w:tcW w:type="dxa" w:w="3389"/>
            <w:tcMar>
              <w:top w:w="90" w:type="dxa"/>
              <w:start w:w="110" w:type="dxa"/>
              <w:bottom w:w="90" w:type="dxa"/>
              <w:end w:w="110" w:type="dxa"/>
            </w:tcMar>
            <w:vAlign w:val="top"/>
          </w:tcPr>
          <w:p>
            <w:r>
              <w:t>Potential fit for a wool skills pipeline; confirm current intake and eligibility.</w:t>
            </w:r>
          </w:p>
        </w:tc>
      </w:tr>
      <w:tr>
        <w:tc>
          <w:tcPr>
            <w:tcW w:type="dxa" w:w="3389"/>
            <w:tcMar>
              <w:top w:w="90" w:type="dxa"/>
              <w:start w:w="110" w:type="dxa"/>
              <w:bottom w:w="90" w:type="dxa"/>
              <w:end w:w="110" w:type="dxa"/>
            </w:tcMar>
            <w:vAlign w:val="top"/>
          </w:tcPr>
          <w:p>
            <w:r>
              <w:t>Alberta Value-Added Program</w:t>
            </w:r>
          </w:p>
        </w:tc>
        <w:tc>
          <w:tcPr>
            <w:tcW w:type="dxa" w:w="3389"/>
            <w:tcMar>
              <w:top w:w="90" w:type="dxa"/>
              <w:start w:w="110" w:type="dxa"/>
              <w:bottom w:w="90" w:type="dxa"/>
              <w:end w:w="110" w:type="dxa"/>
            </w:tcMar>
            <w:vAlign w:val="top"/>
          </w:tcPr>
          <w:p>
            <w:r>
              <w:t>Product/process development, processing expansion, market development</w:t>
            </w:r>
          </w:p>
        </w:tc>
        <w:tc>
          <w:tcPr>
            <w:tcW w:type="dxa" w:w="3389"/>
            <w:tcMar>
              <w:top w:w="90" w:type="dxa"/>
              <w:start w:w="110" w:type="dxa"/>
              <w:bottom w:w="90" w:type="dxa"/>
              <w:end w:w="110" w:type="dxa"/>
            </w:tcMar>
            <w:vAlign w:val="top"/>
          </w:tcPr>
          <w:p>
            <w:r>
              <w:t>Potential fit once an eligible processor/project is defined.</w:t>
            </w:r>
          </w:p>
        </w:tc>
      </w:tr>
      <w:tr>
        <w:tc>
          <w:tcPr>
            <w:tcW w:type="dxa" w:w="3389"/>
            <w:tcMar>
              <w:top w:w="90" w:type="dxa"/>
              <w:start w:w="110" w:type="dxa"/>
              <w:bottom w:w="90" w:type="dxa"/>
              <w:end w:w="110" w:type="dxa"/>
            </w:tcMar>
            <w:vAlign w:val="top"/>
          </w:tcPr>
          <w:p>
            <w:r>
              <w:t>Alberta Emerging Opportunities Program</w:t>
            </w:r>
          </w:p>
        </w:tc>
        <w:tc>
          <w:tcPr>
            <w:tcW w:type="dxa" w:w="3389"/>
            <w:tcMar>
              <w:top w:w="90" w:type="dxa"/>
              <w:start w:w="110" w:type="dxa"/>
              <w:bottom w:w="90" w:type="dxa"/>
              <w:end w:w="110" w:type="dxa"/>
            </w:tcMar>
            <w:vAlign w:val="top"/>
          </w:tcPr>
          <w:p>
            <w:r>
              <w:t>Larger sector-development and processing projects</w:t>
            </w:r>
          </w:p>
        </w:tc>
        <w:tc>
          <w:tcPr>
            <w:tcW w:type="dxa" w:w="3389"/>
            <w:tcMar>
              <w:top w:w="90" w:type="dxa"/>
              <w:start w:w="110" w:type="dxa"/>
              <w:bottom w:w="90" w:type="dxa"/>
              <w:end w:w="110" w:type="dxa"/>
            </w:tcMar>
            <w:vAlign w:val="top"/>
          </w:tcPr>
          <w:p>
            <w:r>
              <w:t>Potentially useful for equipment, engineering, market access and sector collaboration; confirm current cost-share/eligibility.</w:t>
            </w:r>
          </w:p>
        </w:tc>
      </w:tr>
      <w:tr>
        <w:tc>
          <w:tcPr>
            <w:tcW w:type="dxa" w:w="3389"/>
            <w:tcMar>
              <w:top w:w="90" w:type="dxa"/>
              <w:start w:w="110" w:type="dxa"/>
              <w:bottom w:w="90" w:type="dxa"/>
              <w:end w:w="110" w:type="dxa"/>
            </w:tcMar>
            <w:vAlign w:val="top"/>
          </w:tcPr>
          <w:p>
            <w:r>
              <w:t>PrairiesCan</w:t>
            </w:r>
          </w:p>
        </w:tc>
        <w:tc>
          <w:tcPr>
            <w:tcW w:type="dxa" w:w="3389"/>
            <w:tcMar>
              <w:top w:w="90" w:type="dxa"/>
              <w:start w:w="110" w:type="dxa"/>
              <w:bottom w:w="90" w:type="dxa"/>
              <w:end w:w="110" w:type="dxa"/>
            </w:tcMar>
            <w:vAlign w:val="top"/>
          </w:tcPr>
          <w:p>
            <w:r>
              <w:t>Regional economic development and scaling</w:t>
            </w:r>
          </w:p>
        </w:tc>
        <w:tc>
          <w:tcPr>
            <w:tcW w:type="dxa" w:w="3389"/>
            <w:tcMar>
              <w:top w:w="90" w:type="dxa"/>
              <w:start w:w="110" w:type="dxa"/>
              <w:bottom w:w="90" w:type="dxa"/>
              <w:end w:w="110" w:type="dxa"/>
            </w:tcMar>
            <w:vAlign w:val="top"/>
          </w:tcPr>
          <w:p>
            <w:r>
              <w:t>Relationship worth building before a large capital ask.</w:t>
            </w:r>
          </w:p>
        </w:tc>
      </w:tr>
      <w:tr>
        <w:tc>
          <w:tcPr>
            <w:tcW w:type="dxa" w:w="3389"/>
            <w:tcMar>
              <w:top w:w="90" w:type="dxa"/>
              <w:start w:w="110" w:type="dxa"/>
              <w:bottom w:w="90" w:type="dxa"/>
              <w:end w:w="110" w:type="dxa"/>
            </w:tcMar>
            <w:vAlign w:val="top"/>
          </w:tcPr>
          <w:p>
            <w:r>
              <w:t>Producer equity / co-op shares</w:t>
            </w:r>
          </w:p>
        </w:tc>
        <w:tc>
          <w:tcPr>
            <w:tcW w:type="dxa" w:w="3389"/>
            <w:tcMar>
              <w:top w:w="90" w:type="dxa"/>
              <w:start w:w="110" w:type="dxa"/>
              <w:bottom w:w="90" w:type="dxa"/>
              <w:end w:w="110" w:type="dxa"/>
            </w:tcMar>
            <w:vAlign w:val="top"/>
          </w:tcPr>
          <w:p>
            <w:r>
              <w:t>Hub capitalization and ownership</w:t>
            </w:r>
          </w:p>
        </w:tc>
        <w:tc>
          <w:tcPr>
            <w:tcW w:type="dxa" w:w="3389"/>
            <w:tcMar>
              <w:top w:w="90" w:type="dxa"/>
              <w:start w:w="110" w:type="dxa"/>
              <w:bottom w:w="90" w:type="dxa"/>
              <w:end w:w="110" w:type="dxa"/>
            </w:tcMar>
            <w:vAlign w:val="top"/>
          </w:tcPr>
          <w:p>
            <w:r>
              <w:t>Critical for genuine producer control and to leverage outside capital.</w:t>
            </w:r>
          </w:p>
        </w:tc>
      </w:tr>
    </w:tbl>
    <w:p/>
    <w:p>
      <w:pPr>
        <w:pStyle w:val="Small"/>
      </w:pPr>
      <w:r>
        <w:t>Funding note: Programs, intakes, thresholds and eligibility change. The examples above are starting points for discussion and should be confirmed before an application or business plan is built around them.</w:t>
      </w:r>
    </w:p>
    <w:p>
      <w:pPr>
        <w:pStyle w:val="Heading1"/>
      </w:pPr>
      <w:r>
        <w:t>Working principle</w:t>
      </w:r>
    </w:p>
    <w:p>
      <w:pPr>
        <w:jc w:val="center"/>
      </w:pPr>
      <w:r>
        <w:rPr>
          <w:b/>
          <w:color w:val="1F3630"/>
          <w:sz w:val="24"/>
        </w:rPr>
        <w:t>The goal is not one enormous wool mill. It is a resilient network of farmer-owned regional hubs, multiple processing routes, skilled people and multiple markets — so that the failure of any one business, buyer or organization cannot take the wool sector down with it.</w:t>
      </w:r>
    </w:p>
    <w:p/>
    <w:p>
      <w:pPr>
        <w:pStyle w:val="Small"/>
        <w:jc w:val="center"/>
      </w:pPr>
      <w:r>
        <w:t>Prepared as a discussion document for panel planning. It is intentionally a starting framework, not a predetermined sector plan.</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Alberta wool sector development — working discussion paper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F3630"/>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1F363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1F363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60"/>
    </w:pPr>
    <w:rPr>
      <w:rFonts w:ascii="Aptos" w:hAnsi="Aptos"/>
      <w:color w:val="5A5A5A"/>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